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6F8D" w14:textId="234A8377" w:rsidR="00F56DC2" w:rsidRPr="001C1A03" w:rsidRDefault="00F56DC2" w:rsidP="00F56DC2">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Pr="001C1A03">
        <w:rPr>
          <w:bCs/>
          <w:noProof w:val="0"/>
          <w:sz w:val="24"/>
          <w:szCs w:val="24"/>
          <w:lang w:val="en-US"/>
        </w:rPr>
        <w:tab/>
      </w:r>
      <w:r w:rsidR="00A0252E" w:rsidRPr="00A0252E">
        <w:rPr>
          <w:bCs/>
          <w:noProof w:val="0"/>
          <w:sz w:val="24"/>
          <w:szCs w:val="24"/>
          <w:lang w:val="en-US"/>
        </w:rPr>
        <w:t>R2-2600449</w:t>
      </w:r>
    </w:p>
    <w:p w14:paraId="15E990BB" w14:textId="14815BC7" w:rsidR="004770F0" w:rsidRPr="00737122" w:rsidRDefault="00F56DC2" w:rsidP="00F56DC2">
      <w:pPr>
        <w:pStyle w:val="Header"/>
        <w:tabs>
          <w:tab w:val="right" w:pos="9639"/>
        </w:tabs>
        <w:rPr>
          <w:noProof w:val="0"/>
          <w:sz w:val="24"/>
          <w:szCs w:val="24"/>
          <w:lang w:val="da-DK"/>
        </w:rPr>
      </w:pPr>
      <w:r>
        <w:rPr>
          <w:bCs/>
          <w:sz w:val="24"/>
        </w:rPr>
        <w:t>Goteborg</w:t>
      </w:r>
      <w:r>
        <w:rPr>
          <w:rFonts w:eastAsia="SimSun"/>
          <w:sz w:val="24"/>
          <w:szCs w:val="24"/>
          <w:lang w:eastAsia="zh-CN"/>
        </w:rPr>
        <w:t xml:space="preserve">, Sweden, 9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13</w:t>
      </w:r>
      <w:r w:rsidRPr="0099316A">
        <w:rPr>
          <w:rFonts w:eastAsia="SimSun"/>
          <w:sz w:val="24"/>
          <w:szCs w:val="24"/>
          <w:lang w:eastAsia="zh-CN"/>
        </w:rPr>
        <w:t xml:space="preserve"> </w:t>
      </w:r>
      <w:r>
        <w:rPr>
          <w:rFonts w:eastAsia="SimSun"/>
          <w:sz w:val="24"/>
          <w:szCs w:val="24"/>
          <w:lang w:eastAsia="zh-CN"/>
        </w:rPr>
        <w:t>February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005E2C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5E090C">
        <w:rPr>
          <w:rFonts w:cs="Arial"/>
          <w:b/>
          <w:bCs/>
          <w:sz w:val="24"/>
          <w:lang w:val="da-DK"/>
        </w:rPr>
        <w:t>3</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FE1DD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F56DC2">
        <w:rPr>
          <w:rFonts w:ascii="Arial" w:hAnsi="Arial" w:cs="Arial"/>
          <w:b/>
          <w:bCs/>
          <w:sz w:val="24"/>
          <w:lang w:val="en-US"/>
        </w:rPr>
        <w:t>Scheduling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B6C7531" w14:textId="3F9443F3" w:rsidR="00265356" w:rsidRDefault="00265356" w:rsidP="00E43551">
      <w:pPr>
        <w:jc w:val="both"/>
        <w:rPr>
          <w:iCs/>
          <w:lang w:val="en-US"/>
        </w:rPr>
      </w:pPr>
      <w:r>
        <w:rPr>
          <w:iCs/>
          <w:lang w:val="en-US"/>
        </w:rPr>
        <w:t>During RAN2 #13</w:t>
      </w:r>
      <w:r w:rsidR="00100248">
        <w:rPr>
          <w:iCs/>
          <w:lang w:val="en-US"/>
        </w:rPr>
        <w:t>2, we have made the following agreements for topics related to 6GR scheduling</w:t>
      </w:r>
      <w:r w:rsidR="00CA4D8B">
        <w:rPr>
          <w:iCs/>
          <w:lang w:val="en-US"/>
        </w:rPr>
        <w:t xml:space="preserve"> [1]</w:t>
      </w:r>
      <w:r w:rsidR="00100248">
        <w:rPr>
          <w:iCs/>
          <w:lang w:val="en-US"/>
        </w:rPr>
        <w:t>:</w:t>
      </w:r>
    </w:p>
    <w:p w14:paraId="7E255301"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8EE3CDA"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w:t>
      </w:r>
      <w:proofErr w:type="gramStart"/>
      <w:r>
        <w:rPr>
          <w:b/>
          <w:bCs/>
          <w:lang w:val="en-US"/>
        </w:rPr>
        <w:t>contention based</w:t>
      </w:r>
      <w:proofErr w:type="gramEnd"/>
      <w:r>
        <w:rPr>
          <w:b/>
          <w:bCs/>
          <w:lang w:val="en-US"/>
        </w:rPr>
        <w:t xml:space="preserve"> schemes).  </w:t>
      </w:r>
    </w:p>
    <w:p w14:paraId="66A1822F" w14:textId="77777777" w:rsidR="00100248" w:rsidRPr="003E5B7A" w:rsidRDefault="00100248" w:rsidP="00100248">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5D0C432D"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3A7A0A16" w14:textId="77777777" w:rsidR="00100248"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76E1C7AE"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1F48B992" w14:textId="77777777" w:rsidR="00100248" w:rsidRDefault="00100248" w:rsidP="00E43551">
      <w:pPr>
        <w:jc w:val="both"/>
        <w:rPr>
          <w:iCs/>
        </w:rPr>
      </w:pPr>
    </w:p>
    <w:p w14:paraId="4872DDCC" w14:textId="77777777" w:rsidR="00100248" w:rsidRPr="0071201A" w:rsidRDefault="00100248" w:rsidP="00100248">
      <w:pPr>
        <w:pStyle w:val="Doc-text2"/>
        <w:pBdr>
          <w:top w:val="single" w:sz="4" w:space="1" w:color="auto"/>
          <w:left w:val="single" w:sz="4" w:space="4" w:color="auto"/>
          <w:bottom w:val="single" w:sz="4" w:space="1" w:color="auto"/>
          <w:right w:val="single" w:sz="4" w:space="4" w:color="auto"/>
        </w:pBdr>
        <w:rPr>
          <w:b/>
          <w:bCs/>
        </w:rPr>
      </w:pPr>
      <w:r w:rsidRPr="0071201A">
        <w:rPr>
          <w:b/>
          <w:bCs/>
        </w:rPr>
        <w:t>Agreements</w:t>
      </w:r>
    </w:p>
    <w:p w14:paraId="79B3ADFA" w14:textId="77777777" w:rsidR="00100248" w:rsidRDefault="00100248" w:rsidP="00100248">
      <w:pPr>
        <w:pStyle w:val="Agreement"/>
        <w:pBdr>
          <w:top w:val="single" w:sz="4" w:space="1" w:color="auto"/>
          <w:left w:val="single" w:sz="4" w:space="4" w:color="auto"/>
          <w:bottom w:val="single" w:sz="4" w:space="1" w:color="auto"/>
          <w:right w:val="single" w:sz="4" w:space="4" w:color="auto"/>
        </w:pBdr>
        <w:tabs>
          <w:tab w:val="clear" w:pos="1009"/>
          <w:tab w:val="clear" w:pos="1980"/>
          <w:tab w:val="num" w:pos="1619"/>
        </w:tabs>
        <w:ind w:left="1619"/>
      </w:pPr>
      <w:r>
        <w:t xml:space="preserve">Study mechanisms to provide scheduling information (including at least buffer status reporting, delay status reporting).   FFS other scheduling information needed depending on traffic/services.   Aim to unify the </w:t>
      </w:r>
      <w:proofErr w:type="gramStart"/>
      <w:r>
        <w:t>framework</w:t>
      </w:r>
      <w:proofErr w:type="gramEnd"/>
      <w:r>
        <w:t xml:space="preserve"> if possible, after some progress on the detailed functionalities.   </w:t>
      </w:r>
    </w:p>
    <w:p w14:paraId="3BB5F148" w14:textId="6200F4DE" w:rsidR="00100248" w:rsidRDefault="00100248" w:rsidP="00E43551">
      <w:pPr>
        <w:jc w:val="both"/>
        <w:rPr>
          <w:iCs/>
        </w:rPr>
      </w:pPr>
    </w:p>
    <w:p w14:paraId="412AACBE" w14:textId="723FDF20" w:rsidR="00F33744" w:rsidRPr="00BF0DDB" w:rsidRDefault="008921F3" w:rsidP="00BF0DDB">
      <w:pPr>
        <w:jc w:val="both"/>
        <w:rPr>
          <w:iCs/>
        </w:rPr>
      </w:pPr>
      <w:r>
        <w:rPr>
          <w:iCs/>
        </w:rPr>
        <w:t xml:space="preserve">This paper aims to provide </w:t>
      </w:r>
      <w:r w:rsidR="00BF0DDB">
        <w:rPr>
          <w:iCs/>
        </w:rPr>
        <w:t>some of our views about enhancements for scheduling schemes in 6G.</w:t>
      </w:r>
    </w:p>
    <w:p w14:paraId="6E95CAE2" w14:textId="12B692F9" w:rsidR="008A104D" w:rsidRDefault="0008619D" w:rsidP="003E0705">
      <w:pPr>
        <w:pStyle w:val="Heading1"/>
        <w:rPr>
          <w:lang w:val="en-US"/>
        </w:rPr>
      </w:pPr>
      <w:r>
        <w:rPr>
          <w:lang w:val="en-US"/>
        </w:rPr>
        <w:t>Discussions</w:t>
      </w:r>
    </w:p>
    <w:p w14:paraId="5E1A462E" w14:textId="0B407438" w:rsidR="00603D6C" w:rsidRDefault="00100248" w:rsidP="002A0A28">
      <w:pPr>
        <w:pStyle w:val="Heading2"/>
        <w:jc w:val="both"/>
        <w:rPr>
          <w:lang w:val="en-US"/>
        </w:rPr>
      </w:pPr>
      <w:r>
        <w:rPr>
          <w:lang w:val="en-US"/>
        </w:rPr>
        <w:t>Contention-based BSR</w:t>
      </w:r>
    </w:p>
    <w:p w14:paraId="4CB81A02" w14:textId="77777777" w:rsidR="00EF75CA" w:rsidRDefault="00BF0DDB" w:rsidP="00BF0DDB">
      <w:pPr>
        <w:jc w:val="both"/>
        <w:rPr>
          <w:lang w:val="en-US"/>
        </w:rPr>
      </w:pPr>
      <w:r>
        <w:rPr>
          <w:lang w:val="en-US"/>
        </w:rPr>
        <w:t xml:space="preserve">To reduce the scheduling latency caused by SR/BSR delay, it has been suggested that multiple UEs can share a contention-based resource to send their </w:t>
      </w:r>
      <w:proofErr w:type="gramStart"/>
      <w:r>
        <w:rPr>
          <w:lang w:val="en-US"/>
        </w:rPr>
        <w:t>BSR,  such</w:t>
      </w:r>
      <w:proofErr w:type="gramEnd"/>
      <w:r>
        <w:rPr>
          <w:lang w:val="en-US"/>
        </w:rPr>
        <w:t xml:space="preserve"> that the UE does not have to send the SR to ask for the UL resource for BSR first. While we agree this may reduce scheduling latency in certain cases, eventually whether it can really bring the benefits may depend on </w:t>
      </w:r>
      <w:r w:rsidR="00970459">
        <w:rPr>
          <w:lang w:val="en-US"/>
        </w:rPr>
        <w:t xml:space="preserve">how well the network is able to resolve the collision among multiple UEs. Since the evaluation of collision handling is highly dependent on the Physical layer mechanisms, RAN1 should be involved as early as possible. </w:t>
      </w:r>
    </w:p>
    <w:p w14:paraId="1AB78D3C" w14:textId="34A22D7E" w:rsidR="00100248" w:rsidRDefault="0086085A" w:rsidP="00BF0DDB">
      <w:pPr>
        <w:jc w:val="both"/>
        <w:rPr>
          <w:lang w:val="en-US"/>
        </w:rPr>
      </w:pPr>
      <w:r>
        <w:rPr>
          <w:lang w:val="en-US"/>
        </w:rPr>
        <w:t xml:space="preserve">Besides, in our understanding, today in 5G this is already possible for the network to assign orthogonal DMRS sequences to multiple UEs in one configured grant (based on network implementation), which in </w:t>
      </w:r>
      <w:r w:rsidR="00EF75CA">
        <w:rPr>
          <w:lang w:val="en-US"/>
        </w:rPr>
        <w:t>some sense</w:t>
      </w:r>
      <w:r>
        <w:rPr>
          <w:lang w:val="en-US"/>
        </w:rPr>
        <w:t xml:space="preserve"> also </w:t>
      </w:r>
      <w:r w:rsidR="00EF75CA">
        <w:rPr>
          <w:lang w:val="en-US"/>
        </w:rPr>
        <w:lastRenderedPageBreak/>
        <w:t>allows multiple UEs to share one radio resource as in</w:t>
      </w:r>
      <w:r>
        <w:rPr>
          <w:lang w:val="en-US"/>
        </w:rPr>
        <w:t xml:space="preserve"> contention-based BSR</w:t>
      </w:r>
      <w:r w:rsidR="00EF75CA">
        <w:rPr>
          <w:lang w:val="en-US"/>
        </w:rPr>
        <w:t>. However, since this is more of a PHY-centric approach, the comparison with contention-based PUSCH should be conducted by RAN1.</w:t>
      </w:r>
      <w:r>
        <w:rPr>
          <w:lang w:val="en-US"/>
        </w:rPr>
        <w:t xml:space="preserve"> </w:t>
      </w:r>
      <w:r w:rsidR="00EF75CA">
        <w:rPr>
          <w:lang w:val="en-US"/>
        </w:rPr>
        <w:t>Based on these reasons</w:t>
      </w:r>
      <w:r w:rsidR="00970459">
        <w:rPr>
          <w:lang w:val="en-US"/>
        </w:rPr>
        <w:t xml:space="preserve">, we think RAN2 should first ask RAN1 to analyze the impacts and feasibility of contention-based PUSCH, before delving into more detailed discussions. </w:t>
      </w:r>
    </w:p>
    <w:p w14:paraId="50E8FE93" w14:textId="6C8E92CA" w:rsidR="00EF75CA" w:rsidRDefault="00EF75CA" w:rsidP="00BF0DDB">
      <w:pPr>
        <w:jc w:val="both"/>
        <w:rPr>
          <w:lang w:val="en-US"/>
        </w:rPr>
      </w:pPr>
      <w:r>
        <w:rPr>
          <w:lang w:val="en-US"/>
        </w:rPr>
        <w:t xml:space="preserve">It is worth highlighting that, in 6G we aim to avoid introducing multiple features with the same purpose, unless there </w:t>
      </w:r>
      <w:proofErr w:type="gramStart"/>
      <w:r>
        <w:rPr>
          <w:lang w:val="en-US"/>
        </w:rPr>
        <w:t>is</w:t>
      </w:r>
      <w:proofErr w:type="gramEnd"/>
      <w:r>
        <w:rPr>
          <w:lang w:val="en-US"/>
        </w:rPr>
        <w:t xml:space="preserve"> sufficient justifications. Since we have already agreed that 6G will continue to support configured grant (which was also introduced in 5G to reduce scheduling latency), we think justifications from RAN1 is particularly important for this topic.</w:t>
      </w:r>
    </w:p>
    <w:p w14:paraId="6F8C2338" w14:textId="104CE8F8" w:rsidR="00712A8D" w:rsidRDefault="00712A8D" w:rsidP="00712A8D">
      <w:pPr>
        <w:jc w:val="both"/>
        <w:rPr>
          <w:b/>
          <w:bCs/>
          <w:iCs/>
        </w:rPr>
      </w:pPr>
      <w:r w:rsidRPr="00254897">
        <w:rPr>
          <w:b/>
          <w:bCs/>
          <w:iCs/>
        </w:rPr>
        <w:t xml:space="preserve">Proposal </w:t>
      </w:r>
      <w:r>
        <w:rPr>
          <w:b/>
          <w:bCs/>
          <w:iCs/>
        </w:rPr>
        <w:t>1</w:t>
      </w:r>
      <w:r w:rsidRPr="00254897">
        <w:rPr>
          <w:b/>
          <w:bCs/>
          <w:iCs/>
        </w:rPr>
        <w:t xml:space="preserve">: </w:t>
      </w:r>
      <w:r w:rsidR="00970459">
        <w:rPr>
          <w:b/>
          <w:bCs/>
          <w:iCs/>
        </w:rPr>
        <w:t>Send a LS to consult RAN1 for feasibility and impact analysis of contention-based PUSCH by RAN1 from PHY perspectives.</w:t>
      </w:r>
    </w:p>
    <w:p w14:paraId="458109B9" w14:textId="77777777" w:rsidR="00100248" w:rsidRDefault="00100248" w:rsidP="00100248"/>
    <w:p w14:paraId="3BDC4F16" w14:textId="146F507F" w:rsidR="00970459" w:rsidRDefault="0086085A" w:rsidP="0086085A">
      <w:pPr>
        <w:jc w:val="both"/>
      </w:pPr>
      <w:r>
        <w:t>Furthermore, since 6G targets to deal with diverse traffic types with different requirements, contention-based BSR may not be always suitable for all traffic and scenarios. On the other hand, SR/BSR has been used for several generations and has been proven to be a stable scheme. To ensure a smooth transition from 5G NR to 6G, we think the SR/BSR based procedure should be retained and considered as the baseline for 6G, regardless of whether contention-based BSR is to be introduced in 6G or not.</w:t>
      </w:r>
    </w:p>
    <w:p w14:paraId="79C32EC3" w14:textId="673D5BEF" w:rsidR="0086085A" w:rsidRDefault="0086085A" w:rsidP="0086085A">
      <w:pPr>
        <w:jc w:val="both"/>
        <w:rPr>
          <w:b/>
          <w:bCs/>
          <w:iCs/>
        </w:rPr>
      </w:pPr>
      <w:r w:rsidRPr="00254897">
        <w:rPr>
          <w:b/>
          <w:bCs/>
          <w:iCs/>
        </w:rPr>
        <w:t xml:space="preserve">Proposal </w:t>
      </w:r>
      <w:r>
        <w:rPr>
          <w:b/>
          <w:bCs/>
          <w:iCs/>
        </w:rPr>
        <w:t>2</w:t>
      </w:r>
      <w:r w:rsidRPr="00254897">
        <w:rPr>
          <w:b/>
          <w:bCs/>
          <w:iCs/>
        </w:rPr>
        <w:t xml:space="preserve">: </w:t>
      </w:r>
      <w:r>
        <w:rPr>
          <w:b/>
          <w:bCs/>
          <w:iCs/>
        </w:rPr>
        <w:t>Regardless of whether Contention-based BSR is to be introduced or not, SR/BSR procedure should be retained in 6G.</w:t>
      </w:r>
    </w:p>
    <w:p w14:paraId="3019D60D" w14:textId="77777777" w:rsidR="00970459" w:rsidRPr="00970459" w:rsidRDefault="00970459" w:rsidP="00100248"/>
    <w:p w14:paraId="5F6D6AD4" w14:textId="6B8B45F0" w:rsidR="00100248" w:rsidRDefault="00100248" w:rsidP="00100248">
      <w:pPr>
        <w:pStyle w:val="Heading2"/>
        <w:jc w:val="both"/>
        <w:rPr>
          <w:lang w:val="en-US"/>
        </w:rPr>
      </w:pPr>
      <w:r>
        <w:rPr>
          <w:lang w:val="en-US"/>
        </w:rPr>
        <w:t>Scheduling Request Enhancement</w:t>
      </w:r>
    </w:p>
    <w:p w14:paraId="78FA2E33" w14:textId="4DCA9365" w:rsidR="00100248" w:rsidRDefault="00100248" w:rsidP="008B729F">
      <w:pPr>
        <w:jc w:val="both"/>
        <w:rPr>
          <w:lang w:val="en-US"/>
        </w:rPr>
      </w:pPr>
      <w:r>
        <w:rPr>
          <w:lang w:val="en-US"/>
        </w:rPr>
        <w:t xml:space="preserve">Based on the preceding proposal, we think 6GR should anyway continue to support scheduling request (SR). One </w:t>
      </w:r>
      <w:r w:rsidR="00712A8D">
        <w:rPr>
          <w:lang w:val="en-US"/>
        </w:rPr>
        <w:t xml:space="preserve">latency </w:t>
      </w:r>
      <w:r>
        <w:rPr>
          <w:lang w:val="en-US"/>
        </w:rPr>
        <w:t xml:space="preserve">issue we have observed with SR/BSR mechanism is </w:t>
      </w:r>
      <w:proofErr w:type="gramStart"/>
      <w:r>
        <w:rPr>
          <w:lang w:val="en-US"/>
        </w:rPr>
        <w:t>that,</w:t>
      </w:r>
      <w:proofErr w:type="gramEnd"/>
      <w:r>
        <w:rPr>
          <w:lang w:val="en-US"/>
        </w:rPr>
        <w:t xml:space="preserve"> the network needs to wait until </w:t>
      </w:r>
      <w:r w:rsidR="008B729F">
        <w:rPr>
          <w:lang w:val="en-US"/>
        </w:rPr>
        <w:t xml:space="preserve">the BSR is received, before it can know how much data the UE has in its buffer and thereby allocating a grant with appropriate size. In other words, when receiving the SR, the network may only schedule a small grant that is only sufficient for a BSR, as the network may not want to waste the resource unnecessarily by allocating a grant that is larger than what is </w:t>
      </w:r>
      <w:proofErr w:type="gramStart"/>
      <w:r w:rsidR="008B729F">
        <w:rPr>
          <w:lang w:val="en-US"/>
        </w:rPr>
        <w:t>actually needed</w:t>
      </w:r>
      <w:proofErr w:type="gramEnd"/>
      <w:r w:rsidR="008B729F">
        <w:rPr>
          <w:lang w:val="en-US"/>
        </w:rPr>
        <w:t xml:space="preserve"> by the UE. However, if the</w:t>
      </w:r>
      <w:r w:rsidR="00B74D9B">
        <w:rPr>
          <w:lang w:val="en-US"/>
        </w:rPr>
        <w:t xml:space="preserve"> UE can already get a grant that is at least enough for some data (especially the more urgent data) after the SR is </w:t>
      </w:r>
      <w:proofErr w:type="spellStart"/>
      <w:r w:rsidR="00B74D9B">
        <w:rPr>
          <w:lang w:val="en-US"/>
        </w:rPr>
        <w:t>signalled</w:t>
      </w:r>
      <w:proofErr w:type="spellEnd"/>
      <w:r w:rsidR="00B74D9B">
        <w:rPr>
          <w:lang w:val="en-US"/>
        </w:rPr>
        <w:t>, some delay-sensitive data can be transmitted even before BSR is sent.</w:t>
      </w:r>
    </w:p>
    <w:p w14:paraId="12E9F6C4" w14:textId="52CBE1D2" w:rsidR="008B729F" w:rsidRDefault="00B74D9B" w:rsidP="008B729F">
      <w:pPr>
        <w:jc w:val="both"/>
        <w:rPr>
          <w:lang w:val="en-US"/>
        </w:rPr>
      </w:pPr>
      <w:r>
        <w:rPr>
          <w:lang w:val="en-US"/>
        </w:rPr>
        <w:t xml:space="preserve">Thus, we think this would be useful </w:t>
      </w:r>
      <w:r w:rsidR="00712A8D">
        <w:rPr>
          <w:lang w:val="en-US"/>
        </w:rPr>
        <w:t xml:space="preserve">in terms of decreasing scheduling latency, if </w:t>
      </w:r>
      <w:r>
        <w:rPr>
          <w:lang w:val="en-US"/>
        </w:rPr>
        <w:t xml:space="preserve">the network </w:t>
      </w:r>
      <w:r w:rsidR="00712A8D">
        <w:rPr>
          <w:lang w:val="en-US"/>
        </w:rPr>
        <w:t>can</w:t>
      </w:r>
      <w:r>
        <w:rPr>
          <w:lang w:val="en-US"/>
        </w:rPr>
        <w:t xml:space="preserve"> </w:t>
      </w:r>
      <w:r w:rsidR="00712A8D">
        <w:rPr>
          <w:lang w:val="en-US"/>
        </w:rPr>
        <w:t xml:space="preserve">already </w:t>
      </w:r>
      <w:r>
        <w:rPr>
          <w:lang w:val="en-US"/>
        </w:rPr>
        <w:t>get some rough knowledge of the buffer status by the SR alone</w:t>
      </w:r>
      <w:r w:rsidR="00712A8D">
        <w:rPr>
          <w:lang w:val="en-US"/>
        </w:rPr>
        <w:t>, even before receiving the BSR</w:t>
      </w:r>
      <w:r>
        <w:rPr>
          <w:lang w:val="en-US"/>
        </w:rPr>
        <w:t>. There could be two approaches:</w:t>
      </w:r>
    </w:p>
    <w:p w14:paraId="610114EA" w14:textId="0B891E2B" w:rsidR="00B74D9B" w:rsidRDefault="00B74D9B" w:rsidP="00B74D9B">
      <w:pPr>
        <w:pStyle w:val="ListParagraph"/>
        <w:numPr>
          <w:ilvl w:val="0"/>
          <w:numId w:val="111"/>
        </w:numPr>
        <w:jc w:val="both"/>
        <w:rPr>
          <w:lang w:val="en-US"/>
        </w:rPr>
      </w:pPr>
      <w:r>
        <w:rPr>
          <w:lang w:val="en-US"/>
        </w:rPr>
        <w:t xml:space="preserve">Approach 1: </w:t>
      </w:r>
      <w:r w:rsidR="00162793">
        <w:rPr>
          <w:lang w:val="en-US"/>
        </w:rPr>
        <w:t>Multi-</w:t>
      </w:r>
      <w:r>
        <w:rPr>
          <w:lang w:val="en-US"/>
        </w:rPr>
        <w:t>bits SR</w:t>
      </w:r>
    </w:p>
    <w:p w14:paraId="146C66D3" w14:textId="0B71C8E7" w:rsidR="00B74D9B" w:rsidRDefault="00B74D9B" w:rsidP="00B74D9B">
      <w:pPr>
        <w:pStyle w:val="ListParagraph"/>
        <w:numPr>
          <w:ilvl w:val="0"/>
          <w:numId w:val="111"/>
        </w:numPr>
        <w:jc w:val="both"/>
        <w:rPr>
          <w:lang w:val="en-US"/>
        </w:rPr>
      </w:pPr>
      <w:r>
        <w:rPr>
          <w:lang w:val="en-US"/>
        </w:rPr>
        <w:t xml:space="preserve">Approach 2: Use SR configuration ID to imply </w:t>
      </w:r>
      <w:r w:rsidR="00162793">
        <w:rPr>
          <w:lang w:val="en-US"/>
        </w:rPr>
        <w:t>some information related to buffer status.</w:t>
      </w:r>
    </w:p>
    <w:p w14:paraId="38DA0C23" w14:textId="5233D40E" w:rsidR="00162793" w:rsidRDefault="00162793" w:rsidP="00162793">
      <w:pPr>
        <w:jc w:val="both"/>
        <w:rPr>
          <w:lang w:val="en-US"/>
        </w:rPr>
      </w:pPr>
      <w:r>
        <w:rPr>
          <w:lang w:val="en-US"/>
        </w:rPr>
        <w:t xml:space="preserve">With Approach 1, instead of having 1-bit SR like legacy, we could increase the </w:t>
      </w:r>
      <w:r w:rsidR="000852F3">
        <w:rPr>
          <w:lang w:val="en-US"/>
        </w:rPr>
        <w:t xml:space="preserve">number of SR </w:t>
      </w:r>
      <w:r>
        <w:rPr>
          <w:lang w:val="en-US"/>
        </w:rPr>
        <w:t>code points to allow it to convey more information, such as the buffer size. However, this may impact PUCCH capacity and require more RAN1 involvement, so</w:t>
      </w:r>
      <w:r w:rsidR="000852F3">
        <w:rPr>
          <w:lang w:val="en-US"/>
        </w:rPr>
        <w:t xml:space="preserve"> such direction is</w:t>
      </w:r>
      <w:r>
        <w:rPr>
          <w:lang w:val="en-US"/>
        </w:rPr>
        <w:t xml:space="preserve"> not so desirable from our perspective.</w:t>
      </w:r>
    </w:p>
    <w:p w14:paraId="041E7BBE" w14:textId="3A63333E" w:rsidR="000852F3" w:rsidRDefault="00162793" w:rsidP="00162793">
      <w:pPr>
        <w:jc w:val="both"/>
        <w:rPr>
          <w:lang w:val="en-US"/>
        </w:rPr>
      </w:pPr>
      <w:r>
        <w:rPr>
          <w:lang w:val="en-US"/>
        </w:rPr>
        <w:t>With Approach 2, each SR configuration (which corresponds to a specific setting of SR-PUCCH resource) may be used to represent certain information</w:t>
      </w:r>
      <w:r w:rsidR="001D4FA7">
        <w:rPr>
          <w:lang w:val="en-US"/>
        </w:rPr>
        <w:t xml:space="preserve">. Thus, merely based on which PUCCH occasion this SR is detected, the network can already obtain some knowledge about the UE’s buffer </w:t>
      </w:r>
      <w:proofErr w:type="gramStart"/>
      <w:r w:rsidR="001D4FA7">
        <w:rPr>
          <w:lang w:val="en-US"/>
        </w:rPr>
        <w:t>status, and</w:t>
      </w:r>
      <w:proofErr w:type="gramEnd"/>
      <w:r w:rsidR="001D4FA7">
        <w:rPr>
          <w:lang w:val="en-US"/>
        </w:rPr>
        <w:t xml:space="preserve"> can make a better decision in allocating the first grant.</w:t>
      </w:r>
      <w:r w:rsidR="000852F3">
        <w:rPr>
          <w:lang w:val="en-US"/>
        </w:rPr>
        <w:t xml:space="preserve"> </w:t>
      </w:r>
      <w:r w:rsidR="001D4FA7">
        <w:rPr>
          <w:lang w:val="en-US"/>
        </w:rPr>
        <w:t>Assuming a LCH can be mapped to two or more SR configurations, and w</w:t>
      </w:r>
      <w:r w:rsidR="000852F3">
        <w:rPr>
          <w:lang w:val="en-US"/>
        </w:rPr>
        <w:t xml:space="preserve">hen SR is triggered by </w:t>
      </w:r>
      <w:r w:rsidR="001D4FA7">
        <w:rPr>
          <w:lang w:val="en-US"/>
        </w:rPr>
        <w:t>this</w:t>
      </w:r>
      <w:r w:rsidR="000852F3">
        <w:rPr>
          <w:lang w:val="en-US"/>
        </w:rPr>
        <w:t xml:space="preserve"> LCH, the UE can select one SR configuration to signal the SR, based on the </w:t>
      </w:r>
      <w:r w:rsidR="001D4FA7">
        <w:rPr>
          <w:lang w:val="en-US"/>
        </w:rPr>
        <w:t xml:space="preserve">status of this LCH </w:t>
      </w:r>
      <w:r w:rsidR="000852F3">
        <w:rPr>
          <w:lang w:val="en-US"/>
        </w:rPr>
        <w:t>that the UE would like to indicate</w:t>
      </w:r>
      <w:r w:rsidR="001D4FA7">
        <w:rPr>
          <w:lang w:val="en-US"/>
        </w:rPr>
        <w:t xml:space="preserve"> via SR</w:t>
      </w:r>
      <w:r w:rsidR="000852F3">
        <w:rPr>
          <w:lang w:val="en-US"/>
        </w:rPr>
        <w:t>. Two example use cases are illustrated below:</w:t>
      </w:r>
    </w:p>
    <w:p w14:paraId="4F6AD246" w14:textId="77777777" w:rsidR="001D4FA7" w:rsidRDefault="001D4FA7" w:rsidP="001D4FA7">
      <w:pPr>
        <w:keepNext/>
        <w:jc w:val="both"/>
      </w:pPr>
      <w:r>
        <w:rPr>
          <w:noProof/>
          <w:lang w:val="en-US"/>
        </w:rPr>
        <w:lastRenderedPageBreak/>
        <w:drawing>
          <wp:inline distT="0" distB="0" distL="0" distR="0" wp14:anchorId="116B9761" wp14:editId="757AFD32">
            <wp:extent cx="5943600" cy="1786255"/>
            <wp:effectExtent l="0" t="0" r="0" b="4445"/>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943600" cy="1786255"/>
                    </a:xfrm>
                    <a:prstGeom prst="rect">
                      <a:avLst/>
                    </a:prstGeom>
                  </pic:spPr>
                </pic:pic>
              </a:graphicData>
            </a:graphic>
          </wp:inline>
        </w:drawing>
      </w:r>
    </w:p>
    <w:p w14:paraId="72F544EC" w14:textId="1657B885" w:rsidR="000852F3" w:rsidRDefault="001D4FA7" w:rsidP="001D4FA7">
      <w:pPr>
        <w:pStyle w:val="Caption"/>
        <w:jc w:val="center"/>
        <w:rPr>
          <w:lang w:val="en-US"/>
        </w:rPr>
      </w:pPr>
      <w:r>
        <w:t xml:space="preserve">Figure </w:t>
      </w:r>
      <w:fldSimple w:instr=" SEQ Figure \* ARABIC ">
        <w:r w:rsidR="00EF3663">
          <w:rPr>
            <w:noProof/>
          </w:rPr>
          <w:t>1</w:t>
        </w:r>
      </w:fldSimple>
      <w:r w:rsidR="00CF7C7A">
        <w:t xml:space="preserve"> Illustrations of two examples of using SR configuration ID to convey buffer-related information.</w:t>
      </w:r>
    </w:p>
    <w:p w14:paraId="6063FF2A" w14:textId="38D2758A" w:rsidR="000852F3" w:rsidRDefault="001D4FA7" w:rsidP="00162793">
      <w:pPr>
        <w:jc w:val="both"/>
        <w:rPr>
          <w:lang w:val="en-US"/>
        </w:rPr>
      </w:pPr>
      <w:r>
        <w:rPr>
          <w:lang w:val="en-US"/>
        </w:rPr>
        <w:t>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w:t>
      </w:r>
      <w:r w:rsidR="00EF3663">
        <w:rPr>
          <w:lang w:val="en-US"/>
        </w:rPr>
        <w:t xml:space="preserve"> </w:t>
      </w:r>
      <w:r w:rsidR="00712A8D">
        <w:rPr>
          <w:lang w:val="en-US"/>
        </w:rPr>
        <w:t>As compared to Approach 1</w:t>
      </w:r>
      <w:r w:rsidR="00CF7C7A">
        <w:rPr>
          <w:lang w:val="en-US"/>
        </w:rPr>
        <w:t xml:space="preserve"> (multi-bits SR)</w:t>
      </w:r>
      <w:r w:rsidR="00712A8D">
        <w:rPr>
          <w:lang w:val="en-US"/>
        </w:rPr>
        <w:t xml:space="preserve">, it does not </w:t>
      </w:r>
      <w:r w:rsidR="00EF3663">
        <w:rPr>
          <w:lang w:val="en-US"/>
        </w:rPr>
        <w:t>involve any PHY impacts, and hence RAN2 can study this direction without RAN1 support.</w:t>
      </w:r>
    </w:p>
    <w:p w14:paraId="0BDAF2CD" w14:textId="3771E0CA" w:rsidR="00100248" w:rsidRDefault="00EF3663" w:rsidP="00EF3663">
      <w:pPr>
        <w:jc w:val="both"/>
        <w:rPr>
          <w:b/>
          <w:bCs/>
          <w:iCs/>
        </w:rPr>
      </w:pPr>
      <w:r w:rsidRPr="00254897">
        <w:rPr>
          <w:b/>
          <w:bCs/>
          <w:iCs/>
        </w:rPr>
        <w:t xml:space="preserve">Proposal </w:t>
      </w:r>
      <w:r w:rsidR="005C67AD">
        <w:rPr>
          <w:b/>
          <w:bCs/>
          <w:iCs/>
        </w:rPr>
        <w:t>3</w:t>
      </w:r>
      <w:r w:rsidRPr="00254897">
        <w:rPr>
          <w:b/>
          <w:bCs/>
          <w:iCs/>
        </w:rPr>
        <w:t xml:space="preserve">: </w:t>
      </w:r>
      <w:r>
        <w:rPr>
          <w:b/>
          <w:bCs/>
          <w:iCs/>
        </w:rPr>
        <w:t xml:space="preserve">To reduce SR/BSR latency, RAN2 can consider using SR configuration ID to represent certain information related to the buffer status (e.g. buffer size, or presence of delay-critical data), such that network can </w:t>
      </w:r>
      <w:r w:rsidR="00F44B14">
        <w:rPr>
          <w:b/>
          <w:bCs/>
          <w:iCs/>
        </w:rPr>
        <w:t>timely</w:t>
      </w:r>
      <w:r>
        <w:rPr>
          <w:b/>
          <w:bCs/>
          <w:iCs/>
        </w:rPr>
        <w:t xml:space="preserve"> allocate more appropriate UL resource even without BSR.</w:t>
      </w:r>
    </w:p>
    <w:p w14:paraId="007EFBB3" w14:textId="77777777" w:rsidR="00EF3663" w:rsidRPr="00EF3663" w:rsidRDefault="00EF3663" w:rsidP="00EF3663">
      <w:pPr>
        <w:jc w:val="both"/>
        <w:rPr>
          <w:b/>
          <w:bCs/>
          <w:iCs/>
        </w:rPr>
      </w:pPr>
    </w:p>
    <w:p w14:paraId="5443938F" w14:textId="025B7FBF" w:rsidR="00100248" w:rsidRDefault="00100248" w:rsidP="00100248">
      <w:pPr>
        <w:pStyle w:val="Heading2"/>
        <w:jc w:val="both"/>
        <w:rPr>
          <w:lang w:val="en-US"/>
        </w:rPr>
      </w:pPr>
      <w:r>
        <w:rPr>
          <w:lang w:val="en-US"/>
        </w:rPr>
        <w:t>BSR with Traffic Forecast</w:t>
      </w:r>
    </w:p>
    <w:p w14:paraId="017D885B" w14:textId="45257E0E" w:rsidR="00EF3663" w:rsidRDefault="00EF3663" w:rsidP="00EF3663">
      <w:pPr>
        <w:jc w:val="both"/>
        <w:rPr>
          <w:lang w:val="en-US"/>
        </w:rPr>
      </w:pPr>
      <w:r>
        <w:rPr>
          <w:lang w:val="en-US"/>
        </w:rPr>
        <w:t>Since RAN2 has also agreed to study Application/Service awareness in RAN, we think it is possible for the UE to interact with Application layer and predict the future buffer status (e.g. with assistance of AI/</w:t>
      </w:r>
      <w:proofErr w:type="gramStart"/>
      <w:r>
        <w:rPr>
          <w:lang w:val="en-US"/>
        </w:rPr>
        <w:t>ML, or</w:t>
      </w:r>
      <w:proofErr w:type="gramEnd"/>
      <w:r>
        <w:rPr>
          <w:lang w:val="en-US"/>
        </w:rPr>
        <w:t xml:space="preserve"> based on the indication from the upper layer). Some results in </w:t>
      </w:r>
      <w:r w:rsidR="00623E29">
        <w:rPr>
          <w:lang w:val="en-US"/>
        </w:rPr>
        <w:t xml:space="preserve">one of our earlier papers </w:t>
      </w:r>
      <w:r>
        <w:rPr>
          <w:lang w:val="en-US"/>
        </w:rPr>
        <w:t>[</w:t>
      </w:r>
      <w:r w:rsidR="00CA4D8B">
        <w:rPr>
          <w:lang w:val="en-US"/>
        </w:rPr>
        <w:t>2</w:t>
      </w:r>
      <w:r>
        <w:rPr>
          <w:lang w:val="en-US"/>
        </w:rPr>
        <w:t xml:space="preserve">] have shown that the UE can predict traffic arrival with high accuracy. Hence, the scheduling latency could be minimized if the UE can provide its forecasted buffer size change in advance, which allows the network to allocate UL resource that match the timing of traffic arrival. </w:t>
      </w:r>
    </w:p>
    <w:p w14:paraId="47E4C9D9" w14:textId="11C949FF" w:rsidR="00EF3663" w:rsidRDefault="00EF3663" w:rsidP="00EF3663">
      <w:pPr>
        <w:jc w:val="both"/>
        <w:rPr>
          <w:lang w:val="en-US"/>
        </w:rPr>
      </w:pPr>
      <w:r>
        <w:rPr>
          <w:lang w:val="en-US"/>
        </w:rPr>
        <w:t xml:space="preserve">In one example (as illustrated in Figure </w:t>
      </w:r>
      <w:r w:rsidR="005C67AD">
        <w:rPr>
          <w:lang w:val="en-US"/>
        </w:rPr>
        <w:t>2</w:t>
      </w:r>
      <w:r>
        <w:rPr>
          <w:lang w:val="en-US"/>
        </w:rPr>
        <w:t xml:space="preserve">), when the UE triggers a BSR, it can include both current buffer size and predicted buffer sizes (related to one or more future time points) in the BSR MAC CE. The “future time points” could be pre-configured by the network as the offset(s) from the BSR MAC CE transmission </w:t>
      </w:r>
      <w:proofErr w:type="gramStart"/>
      <w:r>
        <w:rPr>
          <w:lang w:val="en-US"/>
        </w:rPr>
        <w:t>timing, or</w:t>
      </w:r>
      <w:proofErr w:type="gramEnd"/>
      <w:r>
        <w:rPr>
          <w:lang w:val="en-US"/>
        </w:rPr>
        <w:t xml:space="preserve"> determined by the UE itself. Such feedback information should provide a clear picture of foreseeable traffic arrival that the scheduler can factor in to flexibly decide how the UL resource should be allocated to minimize latency.</w:t>
      </w:r>
    </w:p>
    <w:p w14:paraId="71B4F24B" w14:textId="77777777" w:rsidR="00EF3663" w:rsidRDefault="00EF3663" w:rsidP="00EF3663">
      <w:pPr>
        <w:keepNext/>
        <w:jc w:val="both"/>
      </w:pPr>
      <w:r>
        <w:rPr>
          <w:noProof/>
          <w:lang w:val="en-US"/>
        </w:rPr>
        <w:lastRenderedPageBreak/>
        <w:drawing>
          <wp:inline distT="0" distB="0" distL="0" distR="0" wp14:anchorId="09D8CC66" wp14:editId="50A8B5F8">
            <wp:extent cx="5943600" cy="3106420"/>
            <wp:effectExtent l="0" t="0" r="0" b="5080"/>
            <wp:docPr id="597945824"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45824" name="Picture 1" descr="A diagram of a computer system&#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106420"/>
                    </a:xfrm>
                    <a:prstGeom prst="rect">
                      <a:avLst/>
                    </a:prstGeom>
                  </pic:spPr>
                </pic:pic>
              </a:graphicData>
            </a:graphic>
          </wp:inline>
        </w:drawing>
      </w:r>
    </w:p>
    <w:p w14:paraId="2F206BEA" w14:textId="6CCC0215" w:rsidR="00EF3663" w:rsidRDefault="00EF3663" w:rsidP="00EF3663">
      <w:pPr>
        <w:pStyle w:val="Caption"/>
        <w:jc w:val="center"/>
      </w:pPr>
      <w:r>
        <w:t xml:space="preserve">Figure </w:t>
      </w:r>
      <w:fldSimple w:instr=" SEQ Figure \* ARABIC ">
        <w:r>
          <w:rPr>
            <w:noProof/>
          </w:rPr>
          <w:t>2</w:t>
        </w:r>
      </w:fldSimple>
      <w:r w:rsidR="005C67AD">
        <w:t xml:space="preserve"> An illustration of BSR with traffic forecast, where BSR can indicate buffer size change in the future, that allows the network to schedule resource in advance and hence reduce latency.</w:t>
      </w:r>
    </w:p>
    <w:p w14:paraId="3109BF2D" w14:textId="2130786A" w:rsidR="007E0C2A" w:rsidRDefault="007E0C2A" w:rsidP="007E0C2A">
      <w:pPr>
        <w:jc w:val="both"/>
        <w:rPr>
          <w:b/>
          <w:bCs/>
          <w:iCs/>
        </w:rPr>
      </w:pPr>
      <w:r w:rsidRPr="00254897">
        <w:rPr>
          <w:b/>
          <w:bCs/>
          <w:iCs/>
        </w:rPr>
        <w:t xml:space="preserve">Proposal </w:t>
      </w:r>
      <w:r w:rsidR="00CA4D8B">
        <w:rPr>
          <w:b/>
          <w:bCs/>
          <w:iCs/>
        </w:rPr>
        <w:t>4</w:t>
      </w:r>
      <w:r>
        <w:rPr>
          <w:b/>
          <w:bCs/>
          <w:iCs/>
        </w:rPr>
        <w:t>: RAN2 should study the feasibility of traffic prediction to provide future buffer size information in BSR that facilitates timely UL resource allocation with minimal scheduling latency.</w:t>
      </w:r>
    </w:p>
    <w:p w14:paraId="0EAD820C" w14:textId="77777777" w:rsidR="00100248" w:rsidRPr="007E0C2A" w:rsidRDefault="00100248" w:rsidP="00100248"/>
    <w:p w14:paraId="345D6E75" w14:textId="77777777" w:rsidR="00100248" w:rsidRDefault="00100248" w:rsidP="00100248">
      <w:pPr>
        <w:pStyle w:val="Heading2"/>
        <w:jc w:val="both"/>
        <w:rPr>
          <w:lang w:val="en-US"/>
        </w:rPr>
      </w:pPr>
      <w:r>
        <w:rPr>
          <w:lang w:val="en-US"/>
        </w:rPr>
        <w:t>BSR/DSR Integration</w:t>
      </w:r>
    </w:p>
    <w:p w14:paraId="34DDD072" w14:textId="1AD260D1" w:rsidR="00EA31D4" w:rsidRDefault="00321C93" w:rsidP="00EA31D4">
      <w:pPr>
        <w:jc w:val="both"/>
        <w:rPr>
          <w:lang w:val="en-US"/>
        </w:rPr>
      </w:pPr>
      <w:r>
        <w:rPr>
          <w:lang w:val="en-US"/>
        </w:rPr>
        <w:t>Delay status reporting (</w:t>
      </w:r>
      <w:r w:rsidR="00EA31D4">
        <w:rPr>
          <w:lang w:val="en-US"/>
        </w:rPr>
        <w:t>DSR</w:t>
      </w:r>
      <w:r>
        <w:rPr>
          <w:lang w:val="en-US"/>
        </w:rPr>
        <w:t>)</w:t>
      </w:r>
      <w:r w:rsidR="00EA31D4">
        <w:rPr>
          <w:lang w:val="en-US"/>
        </w:rPr>
        <w:t xml:space="preserve"> has been introduced as a mechanism independent from BSR in Rel-18, and it has been further enhanced in Rel-19 to enable finer granularity reporting.</w:t>
      </w:r>
      <w:r>
        <w:rPr>
          <w:lang w:val="en-US"/>
        </w:rPr>
        <w:t xml:space="preserve"> The DSR MAC CE allows the UE to report buffer size corresponding to packets whose remaining time budget already fall into certain range and hence considered urgent, as well as the smallest remaining time budget among these packets. With the information conveyed by DSR, the network can conduct delay-aware scheduling and allocate UL resource in a timely manner.</w:t>
      </w:r>
    </w:p>
    <w:p w14:paraId="3300D6E7" w14:textId="4A545AA1" w:rsidR="00321C93" w:rsidRDefault="00321C93" w:rsidP="00EA31D4">
      <w:pPr>
        <w:jc w:val="both"/>
        <w:rPr>
          <w:lang w:val="en-US"/>
        </w:rPr>
      </w:pPr>
      <w:r>
        <w:rPr>
          <w:lang w:val="en-US"/>
        </w:rPr>
        <w:t xml:space="preserve">As compared to BSR, which indicates the total data volume for each LCG, DSR only indicates the data volume of packets that satisfy a delay criterion. Furthermore, BSR and DSR are triggered/cancelled independently, without </w:t>
      </w:r>
      <w:r w:rsidR="00CA4D8B">
        <w:rPr>
          <w:lang w:val="en-US"/>
        </w:rPr>
        <w:t xml:space="preserve">any </w:t>
      </w:r>
      <w:r>
        <w:rPr>
          <w:lang w:val="en-US"/>
        </w:rPr>
        <w:t xml:space="preserve">coordination. </w:t>
      </w:r>
      <w:r w:rsidR="00572183">
        <w:rPr>
          <w:lang w:val="en-US"/>
        </w:rPr>
        <w:t xml:space="preserve">As a result, in many cases the buffer size reported by BSR and DSR can be redundant. </w:t>
      </w:r>
      <w:r>
        <w:rPr>
          <w:lang w:val="en-US"/>
        </w:rPr>
        <w:t>Based on the discussions in RAN2 #132, many companies think BSR and DSR should be merged in 6G</w:t>
      </w:r>
      <w:r w:rsidR="00572183">
        <w:rPr>
          <w:lang w:val="en-US"/>
        </w:rPr>
        <w:t xml:space="preserve">, as it can be quite inefficient if the UE reports too much redundant information. </w:t>
      </w:r>
    </w:p>
    <w:p w14:paraId="2604630F" w14:textId="74667BAD" w:rsidR="006F2A21" w:rsidRDefault="00EA31D4" w:rsidP="00EA31D4">
      <w:pPr>
        <w:jc w:val="both"/>
        <w:rPr>
          <w:lang w:val="en-US"/>
        </w:rPr>
      </w:pPr>
      <w:r>
        <w:rPr>
          <w:lang w:val="en-US"/>
        </w:rPr>
        <w:t xml:space="preserve">To merge BSR and DSR, we think </w:t>
      </w:r>
      <w:r w:rsidR="00E95F92">
        <w:rPr>
          <w:lang w:val="en-US"/>
        </w:rPr>
        <w:t xml:space="preserve">the most straightforward way is allow the UE to </w:t>
      </w:r>
      <w:r w:rsidR="00623E29">
        <w:rPr>
          <w:lang w:val="en-US"/>
        </w:rPr>
        <w:t xml:space="preserve">include </w:t>
      </w:r>
      <w:r w:rsidR="00E95F92">
        <w:rPr>
          <w:lang w:val="en-US"/>
        </w:rPr>
        <w:t>delay information in the BSR</w:t>
      </w:r>
      <w:r w:rsidR="00623E29">
        <w:rPr>
          <w:lang w:val="en-US"/>
        </w:rPr>
        <w:t xml:space="preserve"> when necessary</w:t>
      </w:r>
      <w:r w:rsidR="00E95F92">
        <w:rPr>
          <w:lang w:val="en-US"/>
        </w:rPr>
        <w:t xml:space="preserve">, once the BSR is triggered. In other words, the delay status is simply an information </w:t>
      </w:r>
      <w:r w:rsidR="00623E29">
        <w:rPr>
          <w:lang w:val="en-US"/>
        </w:rPr>
        <w:t xml:space="preserve">that can be conditionally </w:t>
      </w:r>
      <w:r w:rsidR="00E95F92">
        <w:rPr>
          <w:lang w:val="en-US"/>
        </w:rPr>
        <w:t xml:space="preserve">augmented into the BSR MAC CE when </w:t>
      </w:r>
      <w:r w:rsidR="0087190C">
        <w:rPr>
          <w:lang w:val="en-US"/>
        </w:rPr>
        <w:t>one of the concerned LCG/LCH satisfies the condition of delay information reporting (e.g. when at least one packet has a remaining time smaller than a threshold).</w:t>
      </w:r>
      <w:r w:rsidR="006F2A21">
        <w:rPr>
          <w:lang w:val="en-US"/>
        </w:rPr>
        <w:t xml:space="preserve"> </w:t>
      </w:r>
    </w:p>
    <w:p w14:paraId="1A9F41FD" w14:textId="447C2FAF" w:rsidR="0087190C" w:rsidRDefault="006F2A21" w:rsidP="00EA31D4">
      <w:pPr>
        <w:jc w:val="both"/>
        <w:rPr>
          <w:lang w:val="en-US"/>
        </w:rPr>
      </w:pPr>
      <w:r>
        <w:rPr>
          <w:lang w:val="en-US"/>
        </w:rPr>
        <w:t xml:space="preserve">Note that </w:t>
      </w:r>
      <w:r w:rsidR="00623E29">
        <w:rPr>
          <w:lang w:val="en-US"/>
        </w:rPr>
        <w:t xml:space="preserve">the inclusion </w:t>
      </w:r>
      <w:r>
        <w:rPr>
          <w:lang w:val="en-US"/>
        </w:rPr>
        <w:t xml:space="preserve">of delay information in BSR MAC CE is not always needed. For example, when the BSR only intends to include LCGs corresponding to traffic without low latency requirement, there is no need to include </w:t>
      </w:r>
      <w:r w:rsidR="00623E29">
        <w:rPr>
          <w:lang w:val="en-US"/>
        </w:rPr>
        <w:t xml:space="preserve">any </w:t>
      </w:r>
      <w:r>
        <w:rPr>
          <w:lang w:val="en-US"/>
        </w:rPr>
        <w:t>delay information in the BSR MAC CE. To enable such</w:t>
      </w:r>
      <w:r w:rsidR="00623E29">
        <w:rPr>
          <w:lang w:val="en-US"/>
        </w:rPr>
        <w:t xml:space="preserve"> UE</w:t>
      </w:r>
      <w:r>
        <w:rPr>
          <w:lang w:val="en-US"/>
        </w:rPr>
        <w:t xml:space="preserve"> flexibility, we could have multiple different BSR formats – with and without fields for delay information reporting, and the UE can select the BSR format based on if delay information reporting for any concerned LCG is needed. Alternatively, a unified BSR format with extensible fields for delay information could be introduced, such that the UE can determine if the BSR MAC CE should include the extensible field based on the need.</w:t>
      </w:r>
    </w:p>
    <w:p w14:paraId="671D1F79" w14:textId="77777777" w:rsidR="006F2A21" w:rsidRDefault="006F2A21" w:rsidP="00EA31D4">
      <w:pPr>
        <w:jc w:val="both"/>
        <w:rPr>
          <w:lang w:val="en-US"/>
        </w:rPr>
      </w:pPr>
    </w:p>
    <w:p w14:paraId="188ACC0C" w14:textId="34881A06" w:rsidR="0087190C" w:rsidRDefault="0087190C" w:rsidP="0087190C">
      <w:pPr>
        <w:jc w:val="both"/>
        <w:rPr>
          <w:b/>
          <w:bCs/>
          <w:iCs/>
        </w:rPr>
      </w:pPr>
      <w:r w:rsidRPr="00254897">
        <w:rPr>
          <w:b/>
          <w:bCs/>
          <w:iCs/>
        </w:rPr>
        <w:t xml:space="preserve">Proposal </w:t>
      </w:r>
      <w:r w:rsidR="00CA4D8B">
        <w:rPr>
          <w:b/>
          <w:bCs/>
          <w:iCs/>
        </w:rPr>
        <w:t>5</w:t>
      </w:r>
      <w:r>
        <w:rPr>
          <w:b/>
          <w:bCs/>
          <w:iCs/>
        </w:rPr>
        <w:t>: To merge BSR and DSR, the delay information can be</w:t>
      </w:r>
      <w:r w:rsidR="00623E29">
        <w:rPr>
          <w:b/>
          <w:bCs/>
          <w:iCs/>
        </w:rPr>
        <w:t xml:space="preserve"> conditionally</w:t>
      </w:r>
      <w:r>
        <w:rPr>
          <w:b/>
          <w:bCs/>
          <w:iCs/>
        </w:rPr>
        <w:t xml:space="preserve"> augmented to BSR MAC CE and reported via BSR mechanism. </w:t>
      </w:r>
      <w:r w:rsidR="006F2A21">
        <w:rPr>
          <w:b/>
          <w:bCs/>
          <w:iCs/>
        </w:rPr>
        <w:t>RAN2 can consider multiple BSR formats or one BSR format with extensible fields, so the UE can flexibly determine if delay information should be included in BSR MAC CE.</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7626192" w14:textId="540338C7" w:rsidR="00075A63" w:rsidRDefault="00D231B4" w:rsidP="00D04DA9">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 </w:t>
      </w:r>
      <w:r w:rsidR="00CA4D8B">
        <w:rPr>
          <w:iCs/>
          <w:lang w:val="en-US"/>
        </w:rPr>
        <w:t>provided some of our views on scheduling for 6GR. We have the following proposals:</w:t>
      </w:r>
    </w:p>
    <w:p w14:paraId="046CC674" w14:textId="77777777" w:rsidR="00CA4D8B" w:rsidRDefault="00CA4D8B" w:rsidP="00CA4D8B">
      <w:pPr>
        <w:jc w:val="both"/>
        <w:rPr>
          <w:b/>
          <w:bCs/>
          <w:iCs/>
        </w:rPr>
      </w:pPr>
      <w:r w:rsidRPr="00254897">
        <w:rPr>
          <w:b/>
          <w:bCs/>
          <w:iCs/>
        </w:rPr>
        <w:t xml:space="preserve">Proposal </w:t>
      </w:r>
      <w:r>
        <w:rPr>
          <w:b/>
          <w:bCs/>
          <w:iCs/>
        </w:rPr>
        <w:t>1</w:t>
      </w:r>
      <w:r w:rsidRPr="00254897">
        <w:rPr>
          <w:b/>
          <w:bCs/>
          <w:iCs/>
        </w:rPr>
        <w:t xml:space="preserve">: </w:t>
      </w:r>
      <w:r>
        <w:rPr>
          <w:b/>
          <w:bCs/>
          <w:iCs/>
        </w:rPr>
        <w:t>Send a LS to consult RAN1 for feasibility and impact analysis of contention-based PUSCH by RAN1 from PHY perspectives.</w:t>
      </w:r>
    </w:p>
    <w:p w14:paraId="6FF05D1C" w14:textId="77777777" w:rsidR="00CA4D8B" w:rsidRDefault="00CA4D8B" w:rsidP="00CA4D8B">
      <w:pPr>
        <w:jc w:val="both"/>
        <w:rPr>
          <w:b/>
          <w:bCs/>
          <w:iCs/>
        </w:rPr>
      </w:pPr>
      <w:r w:rsidRPr="00254897">
        <w:rPr>
          <w:b/>
          <w:bCs/>
          <w:iCs/>
        </w:rPr>
        <w:t xml:space="preserve">Proposal </w:t>
      </w:r>
      <w:r>
        <w:rPr>
          <w:b/>
          <w:bCs/>
          <w:iCs/>
        </w:rPr>
        <w:t>2</w:t>
      </w:r>
      <w:r w:rsidRPr="00254897">
        <w:rPr>
          <w:b/>
          <w:bCs/>
          <w:iCs/>
        </w:rPr>
        <w:t xml:space="preserve">: </w:t>
      </w:r>
      <w:r>
        <w:rPr>
          <w:b/>
          <w:bCs/>
          <w:iCs/>
        </w:rPr>
        <w:t>Regardless of whether Contention-based BSR is to be introduced or not, SR/BSR procedure should be retained in 6G.</w:t>
      </w:r>
    </w:p>
    <w:p w14:paraId="34E134D2" w14:textId="52D5EBA3" w:rsidR="00CA4D8B" w:rsidRDefault="00CA4D8B" w:rsidP="00CA4D8B">
      <w:pPr>
        <w:jc w:val="both"/>
        <w:rPr>
          <w:b/>
          <w:bCs/>
          <w:iCs/>
        </w:rPr>
      </w:pPr>
      <w:r w:rsidRPr="00254897">
        <w:rPr>
          <w:b/>
          <w:bCs/>
          <w:iCs/>
        </w:rPr>
        <w:t xml:space="preserve">Proposal </w:t>
      </w:r>
      <w:r>
        <w:rPr>
          <w:b/>
          <w:bCs/>
          <w:iCs/>
        </w:rPr>
        <w:t>3</w:t>
      </w:r>
      <w:r w:rsidRPr="00254897">
        <w:rPr>
          <w:b/>
          <w:bCs/>
          <w:iCs/>
        </w:rPr>
        <w:t xml:space="preserve">: </w:t>
      </w:r>
      <w:r>
        <w:rPr>
          <w:b/>
          <w:bCs/>
          <w:iCs/>
        </w:rPr>
        <w:t xml:space="preserve">To reduce SR/BSR latency, RAN2 can consider using SR configuration ID to represent certain information related to the buffer status (e.g. buffer size, or presence of delay-critical data), such that network can </w:t>
      </w:r>
      <w:r w:rsidR="000C0B7D">
        <w:rPr>
          <w:b/>
          <w:bCs/>
          <w:iCs/>
        </w:rPr>
        <w:t>timely</w:t>
      </w:r>
      <w:r>
        <w:rPr>
          <w:b/>
          <w:bCs/>
          <w:iCs/>
        </w:rPr>
        <w:t xml:space="preserve"> allocate more appropriate UL resource even without BSR.</w:t>
      </w:r>
    </w:p>
    <w:p w14:paraId="2214A718" w14:textId="77777777" w:rsidR="00CA4D8B" w:rsidRDefault="00CA4D8B" w:rsidP="00CA4D8B">
      <w:pPr>
        <w:jc w:val="both"/>
        <w:rPr>
          <w:b/>
          <w:bCs/>
          <w:iCs/>
        </w:rPr>
      </w:pPr>
      <w:r w:rsidRPr="00254897">
        <w:rPr>
          <w:b/>
          <w:bCs/>
          <w:iCs/>
        </w:rPr>
        <w:t xml:space="preserve">Proposal </w:t>
      </w:r>
      <w:r>
        <w:rPr>
          <w:b/>
          <w:bCs/>
          <w:iCs/>
        </w:rPr>
        <w:t>4: RAN2 should study the feasibility of traffic prediction to provide future buffer size information in BSR that facilitates timely UL resource allocation with minimal scheduling latency.</w:t>
      </w:r>
    </w:p>
    <w:p w14:paraId="6E74F876" w14:textId="1F624BFC" w:rsidR="00CA4D8B" w:rsidRDefault="00CA4D8B" w:rsidP="00D04DA9">
      <w:pPr>
        <w:jc w:val="both"/>
        <w:rPr>
          <w:b/>
          <w:bCs/>
          <w:iCs/>
        </w:rPr>
      </w:pPr>
      <w:r w:rsidRPr="00254897">
        <w:rPr>
          <w:b/>
          <w:bCs/>
          <w:iCs/>
        </w:rPr>
        <w:t xml:space="preserve">Proposal </w:t>
      </w:r>
      <w:r>
        <w:rPr>
          <w:b/>
          <w:bCs/>
          <w:iCs/>
        </w:rPr>
        <w:t xml:space="preserve">5: To merge BSR and DSR, the delay information can be </w:t>
      </w:r>
      <w:r w:rsidR="00623E29">
        <w:rPr>
          <w:b/>
          <w:bCs/>
          <w:iCs/>
        </w:rPr>
        <w:t>conditionally</w:t>
      </w:r>
      <w:r w:rsidR="00623E29">
        <w:rPr>
          <w:b/>
          <w:bCs/>
          <w:iCs/>
        </w:rPr>
        <w:t xml:space="preserve"> </w:t>
      </w:r>
      <w:r>
        <w:rPr>
          <w:b/>
          <w:bCs/>
          <w:iCs/>
        </w:rPr>
        <w:t>augmented to BSR MAC CE and reported via BSR mechanism. RAN2 can consider multiple BSR formats or one BSR format with extensible fields, so the UE can flexibly determine if delay information should be included in BSR MAC CE.</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272AB16B" w:rsidR="000C024B" w:rsidRDefault="000C024B" w:rsidP="00265356">
      <w:pPr>
        <w:rPr>
          <w:lang w:eastAsia="zh-CN"/>
        </w:rPr>
      </w:pPr>
      <w:r w:rsidRPr="0084396F">
        <w:rPr>
          <w:lang w:eastAsia="zh-CN"/>
        </w:rPr>
        <w:t xml:space="preserve">[1] </w:t>
      </w:r>
      <w:r w:rsidR="001B3EFB">
        <w:rPr>
          <w:lang w:eastAsia="zh-CN"/>
        </w:rPr>
        <w:t>RAN2 #13</w:t>
      </w:r>
      <w:r w:rsidR="00CA4D8B">
        <w:rPr>
          <w:lang w:eastAsia="zh-CN"/>
        </w:rPr>
        <w:t>2</w:t>
      </w:r>
      <w:r w:rsidR="001B3EFB">
        <w:rPr>
          <w:lang w:eastAsia="zh-CN"/>
        </w:rPr>
        <w:t xml:space="preserve"> Chair’s Notes, </w:t>
      </w:r>
      <w:r w:rsidR="00CA4D8B">
        <w:rPr>
          <w:lang w:eastAsia="zh-CN"/>
        </w:rPr>
        <w:t>Novem</w:t>
      </w:r>
      <w:r w:rsidR="001B3EFB">
        <w:rPr>
          <w:lang w:eastAsia="zh-CN"/>
        </w:rPr>
        <w:t>ber 2025.</w:t>
      </w:r>
    </w:p>
    <w:p w14:paraId="45C61606" w14:textId="594AAEEE" w:rsidR="00CA4D8B" w:rsidRDefault="00CA4D8B" w:rsidP="00265356">
      <w:pPr>
        <w:rPr>
          <w:lang w:eastAsia="zh-CN"/>
        </w:rPr>
      </w:pPr>
      <w:r>
        <w:rPr>
          <w:lang w:eastAsia="zh-CN"/>
        </w:rPr>
        <w:t>[2]</w:t>
      </w:r>
      <w:r w:rsidR="00DF209D">
        <w:rPr>
          <w:lang w:eastAsia="zh-CN"/>
        </w:rPr>
        <w:t xml:space="preserve"> R2-2507114, </w:t>
      </w:r>
      <w:r w:rsidR="00DF209D" w:rsidRPr="000C024B">
        <w:rPr>
          <w:lang w:eastAsia="zh-CN"/>
        </w:rPr>
        <w:t>Views on Directions of 6G AI/ML general framework and data transfer</w:t>
      </w:r>
      <w:r w:rsidR="00DF209D">
        <w:rPr>
          <w:lang w:eastAsia="zh-CN"/>
        </w:rPr>
        <w:t>, Apple, RAN2 #131bis, Prague, Czech Republic, October 2025.</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07DD7" w14:textId="77777777" w:rsidR="001C775F" w:rsidRDefault="001C775F">
      <w:r>
        <w:separator/>
      </w:r>
    </w:p>
  </w:endnote>
  <w:endnote w:type="continuationSeparator" w:id="0">
    <w:p w14:paraId="537DC6C5" w14:textId="77777777" w:rsidR="001C775F" w:rsidRDefault="001C775F">
      <w:r>
        <w:continuationSeparator/>
      </w:r>
    </w:p>
  </w:endnote>
  <w:endnote w:type="continuationNotice" w:id="1">
    <w:p w14:paraId="66D41D17" w14:textId="77777777" w:rsidR="001C775F" w:rsidRDefault="001C7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2DDE1" w14:textId="77777777" w:rsidR="001C775F" w:rsidRDefault="001C775F">
      <w:r>
        <w:separator/>
      </w:r>
    </w:p>
  </w:footnote>
  <w:footnote w:type="continuationSeparator" w:id="0">
    <w:p w14:paraId="00D13EE4" w14:textId="77777777" w:rsidR="001C775F" w:rsidRDefault="001C775F">
      <w:r>
        <w:continuationSeparator/>
      </w:r>
    </w:p>
  </w:footnote>
  <w:footnote w:type="continuationNotice" w:id="1">
    <w:p w14:paraId="520E8B67" w14:textId="77777777" w:rsidR="001C775F" w:rsidRDefault="001C7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327EFB"/>
    <w:multiLevelType w:val="hybridMultilevel"/>
    <w:tmpl w:val="5B14729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3"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2"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4"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8"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3"/>
  </w:num>
  <w:num w:numId="2" w16cid:durableId="1464886471">
    <w:abstractNumId w:val="0"/>
  </w:num>
  <w:num w:numId="3" w16cid:durableId="6106756">
    <w:abstractNumId w:val="1"/>
  </w:num>
  <w:num w:numId="4" w16cid:durableId="9181927">
    <w:abstractNumId w:val="2"/>
  </w:num>
  <w:num w:numId="5" w16cid:durableId="189296478">
    <w:abstractNumId w:val="107"/>
  </w:num>
  <w:num w:numId="6" w16cid:durableId="216478951">
    <w:abstractNumId w:val="3"/>
  </w:num>
  <w:num w:numId="7" w16cid:durableId="2145732921">
    <w:abstractNumId w:val="4"/>
  </w:num>
  <w:num w:numId="8" w16cid:durableId="910503920">
    <w:abstractNumId w:val="35"/>
  </w:num>
  <w:num w:numId="9" w16cid:durableId="418721023">
    <w:abstractNumId w:val="89"/>
  </w:num>
  <w:num w:numId="10" w16cid:durableId="701636600">
    <w:abstractNumId w:val="65"/>
  </w:num>
  <w:num w:numId="11" w16cid:durableId="1130325448">
    <w:abstractNumId w:val="22"/>
  </w:num>
  <w:num w:numId="12" w16cid:durableId="1997687803">
    <w:abstractNumId w:val="59"/>
  </w:num>
  <w:num w:numId="13" w16cid:durableId="1749767913">
    <w:abstractNumId w:val="96"/>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1"/>
  </w:num>
  <w:num w:numId="20" w16cid:durableId="1308317274">
    <w:abstractNumId w:val="44"/>
  </w:num>
  <w:num w:numId="21" w16cid:durableId="1576550474">
    <w:abstractNumId w:val="30"/>
  </w:num>
  <w:num w:numId="22" w16cid:durableId="235358636">
    <w:abstractNumId w:val="46"/>
  </w:num>
  <w:num w:numId="23" w16cid:durableId="97602813">
    <w:abstractNumId w:val="85"/>
  </w:num>
  <w:num w:numId="24" w16cid:durableId="710617151">
    <w:abstractNumId w:val="88"/>
  </w:num>
  <w:num w:numId="25" w16cid:durableId="1384014814">
    <w:abstractNumId w:val="45"/>
  </w:num>
  <w:num w:numId="26" w16cid:durableId="912855578">
    <w:abstractNumId w:val="6"/>
  </w:num>
  <w:num w:numId="27" w16cid:durableId="1431848407">
    <w:abstractNumId w:val="91"/>
  </w:num>
  <w:num w:numId="28" w16cid:durableId="1499610725">
    <w:abstractNumId w:val="8"/>
  </w:num>
  <w:num w:numId="29" w16cid:durableId="1731878760">
    <w:abstractNumId w:val="83"/>
  </w:num>
  <w:num w:numId="30" w16cid:durableId="1642735486">
    <w:abstractNumId w:val="64"/>
  </w:num>
  <w:num w:numId="31" w16cid:durableId="49812754">
    <w:abstractNumId w:val="24"/>
  </w:num>
  <w:num w:numId="32" w16cid:durableId="1123622218">
    <w:abstractNumId w:val="84"/>
  </w:num>
  <w:num w:numId="33" w16cid:durableId="1913348842">
    <w:abstractNumId w:val="99"/>
  </w:num>
  <w:num w:numId="34" w16cid:durableId="616252452">
    <w:abstractNumId w:val="79"/>
  </w:num>
  <w:num w:numId="35" w16cid:durableId="1878852805">
    <w:abstractNumId w:val="52"/>
  </w:num>
  <w:num w:numId="36" w16cid:durableId="486896589">
    <w:abstractNumId w:val="61"/>
  </w:num>
  <w:num w:numId="37" w16cid:durableId="279000458">
    <w:abstractNumId w:val="50"/>
  </w:num>
  <w:num w:numId="38" w16cid:durableId="2066174909">
    <w:abstractNumId w:val="95"/>
  </w:num>
  <w:num w:numId="39" w16cid:durableId="1625572420">
    <w:abstractNumId w:val="40"/>
  </w:num>
  <w:num w:numId="40" w16cid:durableId="194776442">
    <w:abstractNumId w:val="105"/>
  </w:num>
  <w:num w:numId="41" w16cid:durableId="1049039292">
    <w:abstractNumId w:val="9"/>
  </w:num>
  <w:num w:numId="42" w16cid:durableId="1748335123">
    <w:abstractNumId w:val="108"/>
  </w:num>
  <w:num w:numId="43" w16cid:durableId="324863305">
    <w:abstractNumId w:val="106"/>
  </w:num>
  <w:num w:numId="44" w16cid:durableId="87776830">
    <w:abstractNumId w:val="55"/>
  </w:num>
  <w:num w:numId="45" w16cid:durableId="116878813">
    <w:abstractNumId w:val="5"/>
  </w:num>
  <w:num w:numId="46" w16cid:durableId="1556234868">
    <w:abstractNumId w:val="32"/>
  </w:num>
  <w:num w:numId="47" w16cid:durableId="1344823590">
    <w:abstractNumId w:val="67"/>
  </w:num>
  <w:num w:numId="48" w16cid:durableId="49882736">
    <w:abstractNumId w:val="58"/>
  </w:num>
  <w:num w:numId="49" w16cid:durableId="749424918">
    <w:abstractNumId w:val="110"/>
  </w:num>
  <w:num w:numId="50" w16cid:durableId="351305233">
    <w:abstractNumId w:val="39"/>
  </w:num>
  <w:num w:numId="51" w16cid:durableId="2141918983">
    <w:abstractNumId w:val="26"/>
  </w:num>
  <w:num w:numId="52" w16cid:durableId="2018117002">
    <w:abstractNumId w:val="33"/>
  </w:num>
  <w:num w:numId="53" w16cid:durableId="291324115">
    <w:abstractNumId w:val="74"/>
  </w:num>
  <w:num w:numId="54" w16cid:durableId="1799448085">
    <w:abstractNumId w:val="101"/>
  </w:num>
  <w:num w:numId="55" w16cid:durableId="463668016">
    <w:abstractNumId w:val="90"/>
  </w:num>
  <w:num w:numId="56" w16cid:durableId="1997105538">
    <w:abstractNumId w:val="63"/>
  </w:num>
  <w:num w:numId="57" w16cid:durableId="965549377">
    <w:abstractNumId w:val="104"/>
  </w:num>
  <w:num w:numId="58" w16cid:durableId="38669279">
    <w:abstractNumId w:val="18"/>
  </w:num>
  <w:num w:numId="59" w16cid:durableId="1349714082">
    <w:abstractNumId w:val="80"/>
  </w:num>
  <w:num w:numId="60" w16cid:durableId="735905483">
    <w:abstractNumId w:val="76"/>
  </w:num>
  <w:num w:numId="61" w16cid:durableId="749082821">
    <w:abstractNumId w:val="51"/>
  </w:num>
  <w:num w:numId="62" w16cid:durableId="1025012730">
    <w:abstractNumId w:val="10"/>
  </w:num>
  <w:num w:numId="63" w16cid:durableId="1496607560">
    <w:abstractNumId w:val="57"/>
  </w:num>
  <w:num w:numId="64" w16cid:durableId="1776901223">
    <w:abstractNumId w:val="47"/>
  </w:num>
  <w:num w:numId="65" w16cid:durableId="284581932">
    <w:abstractNumId w:val="73"/>
  </w:num>
  <w:num w:numId="66" w16cid:durableId="367027988">
    <w:abstractNumId w:val="70"/>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4"/>
  </w:num>
  <w:num w:numId="76" w16cid:durableId="1314330107">
    <w:abstractNumId w:val="102"/>
  </w:num>
  <w:num w:numId="77" w16cid:durableId="1278179100">
    <w:abstractNumId w:val="60"/>
  </w:num>
  <w:num w:numId="78" w16cid:durableId="1475440592">
    <w:abstractNumId w:val="72"/>
  </w:num>
  <w:num w:numId="79" w16cid:durableId="572588627">
    <w:abstractNumId w:val="92"/>
  </w:num>
  <w:num w:numId="80" w16cid:durableId="1603494346">
    <w:abstractNumId w:val="78"/>
  </w:num>
  <w:num w:numId="81" w16cid:durableId="437483292">
    <w:abstractNumId w:val="54"/>
  </w:num>
  <w:num w:numId="82" w16cid:durableId="315570348">
    <w:abstractNumId w:val="86"/>
  </w:num>
  <w:num w:numId="83" w16cid:durableId="1655446843">
    <w:abstractNumId w:val="23"/>
  </w:num>
  <w:num w:numId="84" w16cid:durableId="266356922">
    <w:abstractNumId w:val="62"/>
  </w:num>
  <w:num w:numId="85" w16cid:durableId="50422451">
    <w:abstractNumId w:val="53"/>
  </w:num>
  <w:num w:numId="86" w16cid:durableId="2121677641">
    <w:abstractNumId w:val="16"/>
  </w:num>
  <w:num w:numId="87" w16cid:durableId="1392994229">
    <w:abstractNumId w:val="68"/>
  </w:num>
  <w:num w:numId="88" w16cid:durableId="326708783">
    <w:abstractNumId w:val="100"/>
  </w:num>
  <w:num w:numId="89" w16cid:durableId="1268467111">
    <w:abstractNumId w:val="81"/>
  </w:num>
  <w:num w:numId="90" w16cid:durableId="1454900793">
    <w:abstractNumId w:val="98"/>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2"/>
  </w:num>
  <w:num w:numId="97" w16cid:durableId="908347982">
    <w:abstractNumId w:val="75"/>
  </w:num>
  <w:num w:numId="98" w16cid:durableId="901209985">
    <w:abstractNumId w:val="41"/>
  </w:num>
  <w:num w:numId="99" w16cid:durableId="1291591245">
    <w:abstractNumId w:val="42"/>
  </w:num>
  <w:num w:numId="100" w16cid:durableId="1258097345">
    <w:abstractNumId w:val="48"/>
  </w:num>
  <w:num w:numId="101" w16cid:durableId="353964978">
    <w:abstractNumId w:val="66"/>
  </w:num>
  <w:num w:numId="102" w16cid:durableId="195167108">
    <w:abstractNumId w:val="12"/>
  </w:num>
  <w:num w:numId="103" w16cid:durableId="2009556771">
    <w:abstractNumId w:val="109"/>
  </w:num>
  <w:num w:numId="104" w16cid:durableId="1658415728">
    <w:abstractNumId w:val="27"/>
  </w:num>
  <w:num w:numId="105" w16cid:durableId="821888181">
    <w:abstractNumId w:val="69"/>
  </w:num>
  <w:num w:numId="106" w16cid:durableId="877666121">
    <w:abstractNumId w:val="93"/>
  </w:num>
  <w:num w:numId="107" w16cid:durableId="498424604">
    <w:abstractNumId w:val="29"/>
  </w:num>
  <w:num w:numId="108" w16cid:durableId="1758331206">
    <w:abstractNumId w:val="111"/>
  </w:num>
  <w:num w:numId="109" w16cid:durableId="538857215">
    <w:abstractNumId w:val="87"/>
  </w:num>
  <w:num w:numId="110" w16cid:durableId="604309390">
    <w:abstractNumId w:val="56"/>
  </w:num>
  <w:num w:numId="111" w16cid:durableId="385883847">
    <w:abstractNumId w:val="97"/>
  </w:num>
  <w:num w:numId="112" w16cid:durableId="635841146">
    <w:abstractNumId w:val="7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2F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7D"/>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248"/>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793"/>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73C"/>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5F"/>
    <w:rsid w:val="001C779E"/>
    <w:rsid w:val="001D0A10"/>
    <w:rsid w:val="001D21F1"/>
    <w:rsid w:val="001D2DEC"/>
    <w:rsid w:val="001D2E7E"/>
    <w:rsid w:val="001D303A"/>
    <w:rsid w:val="001D30B9"/>
    <w:rsid w:val="001D348B"/>
    <w:rsid w:val="001D3D35"/>
    <w:rsid w:val="001D3EA1"/>
    <w:rsid w:val="001D499A"/>
    <w:rsid w:val="001D4FA7"/>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C93"/>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755"/>
    <w:rsid w:val="00565E14"/>
    <w:rsid w:val="005669E2"/>
    <w:rsid w:val="00567B7A"/>
    <w:rsid w:val="005719CC"/>
    <w:rsid w:val="00572183"/>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7AD"/>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090C"/>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3E29"/>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A21"/>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2A8D"/>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0C2A"/>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85A"/>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190C"/>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1F3"/>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29F"/>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459"/>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52E"/>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4D9B"/>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DDB"/>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D8B"/>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C7A"/>
    <w:rsid w:val="00CF7E26"/>
    <w:rsid w:val="00D00167"/>
    <w:rsid w:val="00D004F1"/>
    <w:rsid w:val="00D00EEE"/>
    <w:rsid w:val="00D00EF8"/>
    <w:rsid w:val="00D00F68"/>
    <w:rsid w:val="00D01157"/>
    <w:rsid w:val="00D01274"/>
    <w:rsid w:val="00D0268C"/>
    <w:rsid w:val="00D033D0"/>
    <w:rsid w:val="00D039D4"/>
    <w:rsid w:val="00D03ED4"/>
    <w:rsid w:val="00D0480C"/>
    <w:rsid w:val="00D04DA9"/>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09D"/>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5F92"/>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1D4"/>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663"/>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CA"/>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B14"/>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6DC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2063</TotalTime>
  <Pages>5</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98</cp:revision>
  <dcterms:created xsi:type="dcterms:W3CDTF">2025-03-14T09:06:00Z</dcterms:created>
  <dcterms:modified xsi:type="dcterms:W3CDTF">2026-01-29T12:08:00Z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